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15D8" w14:textId="77777777" w:rsidR="00C44823" w:rsidRPr="0037737D" w:rsidRDefault="00C44823" w:rsidP="0037737D">
      <w:pPr>
        <w:jc w:val="center"/>
        <w:rPr>
          <w:b/>
          <w:sz w:val="32"/>
        </w:rPr>
      </w:pPr>
      <w:r w:rsidRPr="0037737D">
        <w:rPr>
          <w:b/>
          <w:sz w:val="32"/>
        </w:rPr>
        <w:t>NAIDC Financial Statements</w:t>
      </w:r>
    </w:p>
    <w:p w14:paraId="1453DC02" w14:textId="77777777" w:rsidR="00C44823" w:rsidRPr="0037737D" w:rsidRDefault="00C44823" w:rsidP="0037737D">
      <w:pPr>
        <w:jc w:val="center"/>
        <w:rPr>
          <w:b/>
          <w:sz w:val="28"/>
        </w:rPr>
      </w:pPr>
      <w:r w:rsidRPr="0037737D">
        <w:rPr>
          <w:b/>
          <w:sz w:val="28"/>
        </w:rPr>
        <w:t>Changes from Previous Years</w:t>
      </w:r>
      <w:r w:rsidR="0088517C" w:rsidRPr="0037737D">
        <w:rPr>
          <w:b/>
          <w:sz w:val="28"/>
        </w:rPr>
        <w:t xml:space="preserve"> &amp; Impacts on Financial Ratios</w:t>
      </w:r>
    </w:p>
    <w:p w14:paraId="702BF8B6" w14:textId="77777777" w:rsidR="00C44823" w:rsidRDefault="004F19BE" w:rsidP="004F19BE">
      <w:pPr>
        <w:jc w:val="center"/>
      </w:pPr>
      <w:r>
        <w:t>Dr. Alex “Doc” White, Virginia Tech, NAIDC Board Member</w:t>
      </w:r>
    </w:p>
    <w:p w14:paraId="61F162F7" w14:textId="77777777" w:rsidR="004F19BE" w:rsidRDefault="004F19BE"/>
    <w:p w14:paraId="046E7986" w14:textId="1E7F562B" w:rsidR="0037737D" w:rsidRPr="0037737D" w:rsidRDefault="00E47EE2" w:rsidP="004821D9">
      <w:pPr>
        <w:ind w:left="720" w:hanging="720"/>
        <w:rPr>
          <w:sz w:val="28"/>
        </w:rPr>
      </w:pPr>
      <w:r w:rsidRPr="0037737D">
        <w:rPr>
          <w:b/>
          <w:sz w:val="28"/>
        </w:rPr>
        <w:t>Why</w:t>
      </w:r>
      <w:r w:rsidR="0037737D" w:rsidRPr="0037737D">
        <w:rPr>
          <w:b/>
          <w:sz w:val="28"/>
        </w:rPr>
        <w:t xml:space="preserve"> These Changes </w:t>
      </w:r>
      <w:r w:rsidR="00827416">
        <w:rPr>
          <w:b/>
          <w:sz w:val="28"/>
        </w:rPr>
        <w:t xml:space="preserve">Are </w:t>
      </w:r>
      <w:r w:rsidR="0037737D" w:rsidRPr="0037737D">
        <w:rPr>
          <w:b/>
          <w:sz w:val="28"/>
        </w:rPr>
        <w:t>Being Made</w:t>
      </w:r>
      <w:r w:rsidRPr="0037737D">
        <w:rPr>
          <w:b/>
          <w:sz w:val="28"/>
        </w:rPr>
        <w:t>:</w:t>
      </w:r>
      <w:r w:rsidRPr="0037737D">
        <w:rPr>
          <w:sz w:val="28"/>
        </w:rPr>
        <w:tab/>
      </w:r>
    </w:p>
    <w:p w14:paraId="1D38AA5A" w14:textId="77777777" w:rsidR="002360D5" w:rsidRDefault="00E47EE2" w:rsidP="008C173B">
      <w:pPr>
        <w:ind w:left="360"/>
      </w:pPr>
      <w:r>
        <w:t xml:space="preserve">Cornell has an outstanding farm records system that provides statewide averages for dairy farms.  The financial statements that will be used in NAIDC this year (2023) have been modified so that the students can compare the information from the </w:t>
      </w:r>
      <w:r w:rsidR="004821D9">
        <w:t xml:space="preserve">statements directly to the statewide averages that will be provided.  </w:t>
      </w:r>
    </w:p>
    <w:p w14:paraId="21EBF9AB" w14:textId="64C062C1" w:rsidR="00C44823" w:rsidRDefault="002360D5" w:rsidP="008C173B">
      <w:pPr>
        <w:ind w:left="360"/>
      </w:pPr>
      <w:r>
        <w:t xml:space="preserve">In previous years the financial statements provided by the host farms has </w:t>
      </w:r>
      <w:r w:rsidR="00174043">
        <w:t xml:space="preserve">not always </w:t>
      </w:r>
      <w:r>
        <w:t xml:space="preserve">been </w:t>
      </w:r>
      <w:r w:rsidR="00174043">
        <w:t>complete or accurate.  This year, t</w:t>
      </w:r>
      <w:r>
        <w:t xml:space="preserve">he financial statements the students receive will be </w:t>
      </w:r>
      <w:r w:rsidR="008314F6">
        <w:t xml:space="preserve">very </w:t>
      </w:r>
      <w:r>
        <w:t xml:space="preserve">accurate representations of the host farms.  </w:t>
      </w:r>
      <w:r w:rsidR="00174043">
        <w:t>This will allow better financial analysis and less confusion</w:t>
      </w:r>
      <w:r w:rsidR="004F19BE">
        <w:t xml:space="preserve"> for the students</w:t>
      </w:r>
      <w:r w:rsidR="006F6A09">
        <w:t>.</w:t>
      </w:r>
    </w:p>
    <w:p w14:paraId="74D5C6B9" w14:textId="77777777" w:rsidR="00174043" w:rsidRDefault="00174043" w:rsidP="008C173B">
      <w:pPr>
        <w:ind w:left="360"/>
      </w:pPr>
    </w:p>
    <w:p w14:paraId="48358A7D" w14:textId="77777777" w:rsidR="00AE503A" w:rsidRPr="00CB623A" w:rsidRDefault="00AE503A" w:rsidP="004821D9">
      <w:pPr>
        <w:ind w:left="720" w:hanging="720"/>
        <w:rPr>
          <w:b/>
          <w:sz w:val="28"/>
        </w:rPr>
      </w:pPr>
      <w:r w:rsidRPr="00CB623A">
        <w:rPr>
          <w:b/>
          <w:sz w:val="28"/>
        </w:rPr>
        <w:t>Changes to the Balance Sheet:</w:t>
      </w:r>
    </w:p>
    <w:p w14:paraId="490EAAD0" w14:textId="77777777" w:rsidR="00AE503A" w:rsidRDefault="001B2D21" w:rsidP="008C173B">
      <w:pPr>
        <w:ind w:left="360"/>
      </w:pPr>
      <w:r>
        <w:t xml:space="preserve">The Current Asset section of the balance sheet will have slightly different categories.  The </w:t>
      </w:r>
      <w:r w:rsidR="00EA6C62" w:rsidRPr="006F6A09">
        <w:rPr>
          <w:b/>
          <w:color w:val="4472C4" w:themeColor="accent1"/>
        </w:rPr>
        <w:t>Purchased F</w:t>
      </w:r>
      <w:r w:rsidRPr="006F6A09">
        <w:rPr>
          <w:b/>
          <w:color w:val="4472C4" w:themeColor="accent1"/>
        </w:rPr>
        <w:t>eed</w:t>
      </w:r>
      <w:r w:rsidR="00EA6C62" w:rsidRPr="006F6A09">
        <w:rPr>
          <w:b/>
          <w:color w:val="4472C4" w:themeColor="accent1"/>
        </w:rPr>
        <w:t xml:space="preserve"> Inventory, Homegrown Feed Inventory</w:t>
      </w:r>
      <w:r w:rsidRPr="006F6A09">
        <w:rPr>
          <w:b/>
          <w:color w:val="4472C4" w:themeColor="accent1"/>
        </w:rPr>
        <w:t xml:space="preserve"> &amp; </w:t>
      </w:r>
      <w:r w:rsidR="00EA6C62" w:rsidRPr="006F6A09">
        <w:rPr>
          <w:b/>
          <w:color w:val="4472C4" w:themeColor="accent1"/>
        </w:rPr>
        <w:t>S</w:t>
      </w:r>
      <w:r w:rsidRPr="006F6A09">
        <w:rPr>
          <w:b/>
          <w:color w:val="4472C4" w:themeColor="accent1"/>
        </w:rPr>
        <w:t xml:space="preserve">upply </w:t>
      </w:r>
      <w:r w:rsidR="00BB16AC" w:rsidRPr="006F6A09">
        <w:rPr>
          <w:b/>
          <w:color w:val="4472C4" w:themeColor="accent1"/>
        </w:rPr>
        <w:t>I</w:t>
      </w:r>
      <w:r w:rsidRPr="006F6A09">
        <w:rPr>
          <w:b/>
          <w:color w:val="4472C4" w:themeColor="accent1"/>
        </w:rPr>
        <w:t>nventories</w:t>
      </w:r>
      <w:r>
        <w:t xml:space="preserve"> will be combined into one category rather than being listed separately as in the past.  Again, this year’s statement will be directly comparable to the NY </w:t>
      </w:r>
      <w:r w:rsidR="0088517C">
        <w:t>s</w:t>
      </w:r>
      <w:r>
        <w:t xml:space="preserve">tate </w:t>
      </w:r>
      <w:r w:rsidR="0088517C">
        <w:t>benchmarks that will be provided.</w:t>
      </w:r>
    </w:p>
    <w:p w14:paraId="52BBB964" w14:textId="77777777" w:rsidR="0088517C" w:rsidRDefault="0088517C" w:rsidP="008C173B">
      <w:pPr>
        <w:ind w:left="360"/>
      </w:pPr>
      <w:r>
        <w:t xml:space="preserve">This change will have no impact on the calculation of the </w:t>
      </w:r>
      <w:r w:rsidR="00A17D5B">
        <w:t xml:space="preserve">liquidity &amp; solvency </w:t>
      </w:r>
      <w:r>
        <w:t>financial ratios</w:t>
      </w:r>
      <w:r w:rsidR="00A17D5B">
        <w:t>.</w:t>
      </w:r>
    </w:p>
    <w:p w14:paraId="06C40447" w14:textId="77777777" w:rsidR="008C173B" w:rsidRDefault="008C173B" w:rsidP="004821D9">
      <w:pPr>
        <w:ind w:left="720" w:hanging="720"/>
      </w:pPr>
    </w:p>
    <w:tbl>
      <w:tblPr>
        <w:tblStyle w:val="TableGrid"/>
        <w:tblW w:w="0" w:type="auto"/>
        <w:tblLook w:val="04A0" w:firstRow="1" w:lastRow="0" w:firstColumn="1" w:lastColumn="0" w:noHBand="0" w:noVBand="1"/>
      </w:tblPr>
      <w:tblGrid>
        <w:gridCol w:w="4675"/>
        <w:gridCol w:w="4675"/>
      </w:tblGrid>
      <w:tr w:rsidR="001D21B9" w14:paraId="27F253DC" w14:textId="77777777" w:rsidTr="001D21B9">
        <w:tc>
          <w:tcPr>
            <w:tcW w:w="4675" w:type="dxa"/>
          </w:tcPr>
          <w:p w14:paraId="28E4CE31" w14:textId="77777777" w:rsidR="001D21B9" w:rsidRDefault="001D21B9" w:rsidP="001D21B9">
            <w:pPr>
              <w:jc w:val="center"/>
              <w:rPr>
                <w:b/>
                <w:sz w:val="28"/>
              </w:rPr>
            </w:pPr>
            <w:r>
              <w:rPr>
                <w:b/>
                <w:sz w:val="28"/>
              </w:rPr>
              <w:t>Old Category</w:t>
            </w:r>
          </w:p>
          <w:p w14:paraId="6CC702B1" w14:textId="77777777" w:rsidR="00D74968" w:rsidRDefault="00D74968" w:rsidP="001D21B9">
            <w:pPr>
              <w:jc w:val="center"/>
              <w:rPr>
                <w:b/>
                <w:sz w:val="28"/>
              </w:rPr>
            </w:pPr>
          </w:p>
        </w:tc>
        <w:tc>
          <w:tcPr>
            <w:tcW w:w="4675" w:type="dxa"/>
          </w:tcPr>
          <w:p w14:paraId="29BF38CA" w14:textId="77777777" w:rsidR="001D21B9" w:rsidRDefault="001D21B9" w:rsidP="001D21B9">
            <w:pPr>
              <w:jc w:val="center"/>
              <w:rPr>
                <w:b/>
                <w:sz w:val="28"/>
              </w:rPr>
            </w:pPr>
            <w:r>
              <w:rPr>
                <w:b/>
                <w:sz w:val="28"/>
              </w:rPr>
              <w:t>New Category</w:t>
            </w:r>
          </w:p>
        </w:tc>
      </w:tr>
      <w:tr w:rsidR="001D21B9" w14:paraId="6D94D4EF" w14:textId="77777777" w:rsidTr="001D21B9">
        <w:tc>
          <w:tcPr>
            <w:tcW w:w="4675" w:type="dxa"/>
          </w:tcPr>
          <w:p w14:paraId="1687D46C" w14:textId="77777777" w:rsidR="001D21B9" w:rsidRDefault="001D21B9" w:rsidP="00F1180D">
            <w:pPr>
              <w:spacing w:after="120"/>
            </w:pPr>
            <w:r>
              <w:t xml:space="preserve">Homegrown </w:t>
            </w:r>
            <w:r w:rsidR="00BB16AC">
              <w:t>Feed Inventory</w:t>
            </w:r>
          </w:p>
          <w:p w14:paraId="73ED013B" w14:textId="77777777" w:rsidR="00BB16AC" w:rsidRDefault="00BB16AC" w:rsidP="00F1180D">
            <w:pPr>
              <w:spacing w:after="120"/>
            </w:pPr>
            <w:r>
              <w:t>Purchase Feed Inventory</w:t>
            </w:r>
          </w:p>
          <w:p w14:paraId="66553801" w14:textId="77777777" w:rsidR="00BB16AC" w:rsidRPr="001D21B9" w:rsidRDefault="00BB16AC" w:rsidP="00F1180D">
            <w:pPr>
              <w:spacing w:after="120"/>
            </w:pPr>
            <w:r>
              <w:t>Supply Inventory</w:t>
            </w:r>
          </w:p>
        </w:tc>
        <w:tc>
          <w:tcPr>
            <w:tcW w:w="4675" w:type="dxa"/>
          </w:tcPr>
          <w:p w14:paraId="6E527D11" w14:textId="77777777" w:rsidR="001D21B9" w:rsidRPr="001D21B9" w:rsidRDefault="00BB16AC">
            <w:r>
              <w:t>Homegrown Feed, Purchase Feed, &amp; Supply Inventory</w:t>
            </w:r>
          </w:p>
        </w:tc>
      </w:tr>
      <w:tr w:rsidR="001D21B9" w14:paraId="391D846A" w14:textId="77777777" w:rsidTr="001D21B9">
        <w:tc>
          <w:tcPr>
            <w:tcW w:w="4675" w:type="dxa"/>
          </w:tcPr>
          <w:p w14:paraId="01B9B410" w14:textId="77777777" w:rsidR="001D21B9" w:rsidRDefault="00BB16AC">
            <w:r>
              <w:t>Investment in Growing Crops</w:t>
            </w:r>
          </w:p>
          <w:p w14:paraId="4C3D7831" w14:textId="77777777" w:rsidR="00F1180D" w:rsidRPr="001D21B9" w:rsidRDefault="00F1180D"/>
        </w:tc>
        <w:tc>
          <w:tcPr>
            <w:tcW w:w="4675" w:type="dxa"/>
          </w:tcPr>
          <w:p w14:paraId="6D38DA59" w14:textId="77777777" w:rsidR="0090063F" w:rsidRPr="001D21B9" w:rsidRDefault="00BB16AC">
            <w:r>
              <w:t>Not available</w:t>
            </w:r>
          </w:p>
        </w:tc>
      </w:tr>
      <w:tr w:rsidR="001D21B9" w14:paraId="6471A040" w14:textId="77777777" w:rsidTr="001D21B9">
        <w:tc>
          <w:tcPr>
            <w:tcW w:w="4675" w:type="dxa"/>
          </w:tcPr>
          <w:p w14:paraId="3C6DA88E" w14:textId="77777777" w:rsidR="001D21B9" w:rsidRDefault="0090063F">
            <w:r>
              <w:t xml:space="preserve">Dairy Livestock </w:t>
            </w:r>
            <w:r w:rsidR="00960685">
              <w:t>Held for Sale</w:t>
            </w:r>
          </w:p>
          <w:p w14:paraId="55E82574" w14:textId="77777777" w:rsidR="00F1180D" w:rsidRPr="001D21B9" w:rsidRDefault="00F1180D"/>
        </w:tc>
        <w:tc>
          <w:tcPr>
            <w:tcW w:w="4675" w:type="dxa"/>
          </w:tcPr>
          <w:p w14:paraId="45F1B320" w14:textId="77777777" w:rsidR="001D21B9" w:rsidRPr="001D21B9" w:rsidRDefault="008C173B">
            <w:r>
              <w:t>Not available</w:t>
            </w:r>
          </w:p>
        </w:tc>
      </w:tr>
    </w:tbl>
    <w:p w14:paraId="761D97FB" w14:textId="77777777" w:rsidR="00174043" w:rsidRDefault="00174043">
      <w:pPr>
        <w:rPr>
          <w:b/>
          <w:sz w:val="28"/>
        </w:rPr>
      </w:pPr>
      <w:r>
        <w:rPr>
          <w:b/>
          <w:sz w:val="28"/>
        </w:rPr>
        <w:br w:type="page"/>
      </w:r>
    </w:p>
    <w:p w14:paraId="685C6521" w14:textId="77777777" w:rsidR="00A17D5B" w:rsidRPr="00CB623A" w:rsidRDefault="00D14C4E" w:rsidP="00F1180D">
      <w:pPr>
        <w:ind w:left="360" w:hanging="360"/>
        <w:rPr>
          <w:b/>
          <w:sz w:val="28"/>
        </w:rPr>
      </w:pPr>
      <w:r w:rsidRPr="00CB623A">
        <w:rPr>
          <w:b/>
          <w:sz w:val="28"/>
        </w:rPr>
        <w:lastRenderedPageBreak/>
        <w:t>Changes to the Income Statement:</w:t>
      </w:r>
    </w:p>
    <w:p w14:paraId="3BA08106" w14:textId="77777777" w:rsidR="00A12244" w:rsidRPr="006F6A09" w:rsidRDefault="00D14C4E" w:rsidP="00F1180D">
      <w:pPr>
        <w:ind w:left="360"/>
        <w:rPr>
          <w:b/>
          <w:color w:val="4472C4" w:themeColor="accent1"/>
        </w:rPr>
      </w:pPr>
      <w:r>
        <w:t xml:space="preserve">There are several changes in the categories on the Income Statement.  </w:t>
      </w:r>
      <w:r w:rsidR="009E03F5" w:rsidRPr="006F6A09">
        <w:rPr>
          <w:b/>
          <w:color w:val="4472C4" w:themeColor="accent1"/>
        </w:rPr>
        <w:t xml:space="preserve">Footnotes have been added to the Income Statement to explain the affected categories.  </w:t>
      </w:r>
    </w:p>
    <w:p w14:paraId="17829B73" w14:textId="77777777" w:rsidR="00D14C4E" w:rsidRDefault="009E03F5" w:rsidP="00F1180D">
      <w:pPr>
        <w:ind w:left="360"/>
      </w:pPr>
      <w:r w:rsidRPr="008521EA">
        <w:rPr>
          <w:b/>
          <w:color w:val="4472C4" w:themeColor="accent1"/>
        </w:rPr>
        <w:t>The</w:t>
      </w:r>
      <w:r w:rsidR="00B7308D" w:rsidRPr="008521EA">
        <w:rPr>
          <w:b/>
          <w:color w:val="4472C4" w:themeColor="accent1"/>
        </w:rPr>
        <w:t xml:space="preserve"> Farm Revenue section </w:t>
      </w:r>
      <w:r w:rsidRPr="008521EA">
        <w:rPr>
          <w:b/>
          <w:color w:val="4472C4" w:themeColor="accent1"/>
        </w:rPr>
        <w:t xml:space="preserve">will contain 3 categories instead of 4. </w:t>
      </w:r>
      <w:r>
        <w:t xml:space="preserve"> “Other Dairy Revenues” </w:t>
      </w:r>
      <w:r w:rsidR="00A12244">
        <w:t xml:space="preserve">(cooperative distributions, </w:t>
      </w:r>
      <w:r w:rsidR="0026484E">
        <w:t xml:space="preserve">etc.) has been combined into “Other Farm Revenues”.  Other Farm Revenues includes all revenues except for Milk Sales and </w:t>
      </w:r>
      <w:r w:rsidR="00126FBE">
        <w:t>Raised Calf, Cow, &amp; Cull Sales.  Other Farm Revenues will contain cooperative distributions, government payments, sale of crops or non-dairy livestock</w:t>
      </w:r>
      <w:r w:rsidR="00A42BB8">
        <w:t>, and custom hire revenues.</w:t>
      </w:r>
    </w:p>
    <w:p w14:paraId="08923D35" w14:textId="77777777" w:rsidR="00D15281" w:rsidRDefault="00D15281" w:rsidP="00F1180D">
      <w:pPr>
        <w:ind w:left="360"/>
      </w:pPr>
      <w:r>
        <w:t>Several of the expense categories have changed so that they match the NY state benchmarks:</w:t>
      </w:r>
    </w:p>
    <w:p w14:paraId="6D42D718" w14:textId="77777777" w:rsidR="00F1180D" w:rsidRDefault="00F1180D" w:rsidP="00F1180D">
      <w:pPr>
        <w:ind w:left="360"/>
      </w:pPr>
    </w:p>
    <w:tbl>
      <w:tblPr>
        <w:tblStyle w:val="TableGrid"/>
        <w:tblW w:w="0" w:type="auto"/>
        <w:tblInd w:w="355" w:type="dxa"/>
        <w:tblLook w:val="04A0" w:firstRow="1" w:lastRow="0" w:firstColumn="1" w:lastColumn="0" w:noHBand="0" w:noVBand="1"/>
      </w:tblPr>
      <w:tblGrid>
        <w:gridCol w:w="4590"/>
        <w:gridCol w:w="4405"/>
      </w:tblGrid>
      <w:tr w:rsidR="00E95FF5" w:rsidRPr="005F1EA3" w14:paraId="7C541487" w14:textId="77777777" w:rsidTr="00416C76">
        <w:tc>
          <w:tcPr>
            <w:tcW w:w="4590" w:type="dxa"/>
          </w:tcPr>
          <w:p w14:paraId="3842A071" w14:textId="77777777" w:rsidR="00E95FF5" w:rsidRDefault="00D15281" w:rsidP="00B74607">
            <w:pPr>
              <w:jc w:val="center"/>
              <w:rPr>
                <w:b/>
                <w:sz w:val="28"/>
              </w:rPr>
            </w:pPr>
            <w:r>
              <w:tab/>
            </w:r>
            <w:r w:rsidR="00E95FF5" w:rsidRPr="005F1EA3">
              <w:rPr>
                <w:b/>
                <w:sz w:val="28"/>
              </w:rPr>
              <w:t>Old Category</w:t>
            </w:r>
          </w:p>
          <w:p w14:paraId="6F11D81A" w14:textId="77777777" w:rsidR="00D74968" w:rsidRPr="005F1EA3" w:rsidRDefault="00D74968" w:rsidP="00B74607">
            <w:pPr>
              <w:jc w:val="center"/>
            </w:pPr>
          </w:p>
        </w:tc>
        <w:tc>
          <w:tcPr>
            <w:tcW w:w="4405" w:type="dxa"/>
          </w:tcPr>
          <w:p w14:paraId="1A9C6179" w14:textId="77777777" w:rsidR="00E95FF5" w:rsidRPr="005F1EA3" w:rsidRDefault="00F62893" w:rsidP="00B74607">
            <w:pPr>
              <w:jc w:val="center"/>
              <w:rPr>
                <w:b/>
                <w:sz w:val="28"/>
              </w:rPr>
            </w:pPr>
            <w:r w:rsidRPr="005F1EA3">
              <w:rPr>
                <w:b/>
                <w:sz w:val="28"/>
              </w:rPr>
              <w:t>New Category</w:t>
            </w:r>
          </w:p>
        </w:tc>
      </w:tr>
      <w:tr w:rsidR="00E95FF5" w14:paraId="77E6666E" w14:textId="77777777" w:rsidTr="00416C76">
        <w:tc>
          <w:tcPr>
            <w:tcW w:w="4590" w:type="dxa"/>
          </w:tcPr>
          <w:p w14:paraId="40A47A60" w14:textId="77777777" w:rsidR="00B74607" w:rsidRDefault="00F62893" w:rsidP="00B74607">
            <w:r w:rsidRPr="00E95FF5">
              <w:t>Chemicals</w:t>
            </w:r>
            <w:r w:rsidRPr="00E95FF5">
              <w:tab/>
            </w:r>
            <w:r w:rsidRPr="00E95FF5">
              <w:tab/>
            </w:r>
          </w:p>
          <w:p w14:paraId="00F78E1E" w14:textId="77777777" w:rsidR="00E95FF5" w:rsidRDefault="00F62893" w:rsidP="00B74607">
            <w:r w:rsidRPr="00E95FF5">
              <w:tab/>
            </w:r>
          </w:p>
        </w:tc>
        <w:tc>
          <w:tcPr>
            <w:tcW w:w="4405" w:type="dxa"/>
          </w:tcPr>
          <w:p w14:paraId="3413D530" w14:textId="77777777" w:rsidR="00E95FF5" w:rsidRDefault="00F62893" w:rsidP="00B74607">
            <w:r w:rsidRPr="00E95FF5">
              <w:t>Milking Supplies &amp; Chemicals</w:t>
            </w:r>
          </w:p>
        </w:tc>
      </w:tr>
      <w:tr w:rsidR="00E95FF5" w14:paraId="79C6F2F3" w14:textId="77777777" w:rsidTr="00416C76">
        <w:tc>
          <w:tcPr>
            <w:tcW w:w="4590" w:type="dxa"/>
          </w:tcPr>
          <w:p w14:paraId="5CF4870D" w14:textId="77777777" w:rsidR="00E95FF5" w:rsidRDefault="00F62893" w:rsidP="00B74607">
            <w:r w:rsidRPr="00E95FF5">
              <w:t>Contract Heifer Raising</w:t>
            </w:r>
          </w:p>
        </w:tc>
        <w:tc>
          <w:tcPr>
            <w:tcW w:w="4405" w:type="dxa"/>
          </w:tcPr>
          <w:p w14:paraId="2BEDF456" w14:textId="77777777" w:rsidR="00E95FF5" w:rsidRDefault="00F62893" w:rsidP="00B74607">
            <w:r w:rsidRPr="00E95FF5">
              <w:t>Contract Heifer Raising &amp; Purchased Replacements</w:t>
            </w:r>
          </w:p>
          <w:p w14:paraId="62C34F52" w14:textId="77777777" w:rsidR="00B74607" w:rsidRDefault="00B74607" w:rsidP="00B74607"/>
        </w:tc>
      </w:tr>
      <w:tr w:rsidR="00E95FF5" w14:paraId="497BAEB1" w14:textId="77777777" w:rsidTr="00416C76">
        <w:tc>
          <w:tcPr>
            <w:tcW w:w="4590" w:type="dxa"/>
          </w:tcPr>
          <w:p w14:paraId="60633F46" w14:textId="77777777" w:rsidR="00E95FF5" w:rsidRDefault="00F62893" w:rsidP="00B74607">
            <w:r w:rsidRPr="00E95FF5">
              <w:t>Purchased Feed Expense</w:t>
            </w:r>
          </w:p>
        </w:tc>
        <w:tc>
          <w:tcPr>
            <w:tcW w:w="4405" w:type="dxa"/>
          </w:tcPr>
          <w:p w14:paraId="5A7F48F4" w14:textId="77777777" w:rsidR="00F62893" w:rsidRPr="00E95FF5" w:rsidRDefault="00F62893" w:rsidP="00B74607">
            <w:pPr>
              <w:spacing w:after="120"/>
            </w:pPr>
            <w:r w:rsidRPr="00E95FF5">
              <w:t>Purchased Grain &amp; Concentrate Expense</w:t>
            </w:r>
          </w:p>
          <w:p w14:paraId="601EA164" w14:textId="77777777" w:rsidR="00E95FF5" w:rsidRDefault="00F62893" w:rsidP="00B74607">
            <w:r w:rsidRPr="00E95FF5">
              <w:t>Purchased Forages</w:t>
            </w:r>
          </w:p>
          <w:p w14:paraId="1222509F" w14:textId="77777777" w:rsidR="00B74607" w:rsidRDefault="00B74607" w:rsidP="00B74607"/>
        </w:tc>
      </w:tr>
      <w:tr w:rsidR="00E95FF5" w14:paraId="30DBA4FF" w14:textId="77777777" w:rsidTr="00416C76">
        <w:tc>
          <w:tcPr>
            <w:tcW w:w="4590" w:type="dxa"/>
          </w:tcPr>
          <w:p w14:paraId="28E9885B" w14:textId="77777777" w:rsidR="00E95FF5" w:rsidRDefault="00F62893" w:rsidP="00B74607">
            <w:r w:rsidRPr="00E95FF5">
              <w:t>Homegrown Feed Expenses</w:t>
            </w:r>
          </w:p>
        </w:tc>
        <w:tc>
          <w:tcPr>
            <w:tcW w:w="4405" w:type="dxa"/>
          </w:tcPr>
          <w:p w14:paraId="2220CC8C" w14:textId="77777777" w:rsidR="00E95FF5" w:rsidRDefault="00F62893" w:rsidP="00B74607">
            <w:r w:rsidRPr="00E95FF5">
              <w:t>The expenses for homegrown feeds are not broken out separately.  They will be included in “Crop Inputs”, “Fuel &amp; Oil”, etc.  It will not be possible to determine the cost of homegrown feed production from this income statement.</w:t>
            </w:r>
          </w:p>
          <w:p w14:paraId="5F53E741" w14:textId="77777777" w:rsidR="00B74607" w:rsidRDefault="00B74607" w:rsidP="00B74607"/>
        </w:tc>
      </w:tr>
      <w:tr w:rsidR="00E95FF5" w14:paraId="2D301053" w14:textId="77777777" w:rsidTr="00416C76">
        <w:tc>
          <w:tcPr>
            <w:tcW w:w="4590" w:type="dxa"/>
          </w:tcPr>
          <w:p w14:paraId="75559231" w14:textId="77777777" w:rsidR="00E95FF5" w:rsidRDefault="00370725" w:rsidP="00B74607">
            <w:r w:rsidRPr="00E95FF5">
              <w:t>Insurance (Dairy-Specific)</w:t>
            </w:r>
            <w:r w:rsidRPr="00E95FF5">
              <w:tab/>
            </w:r>
          </w:p>
        </w:tc>
        <w:tc>
          <w:tcPr>
            <w:tcW w:w="4405" w:type="dxa"/>
          </w:tcPr>
          <w:p w14:paraId="6ED64D8C" w14:textId="77777777" w:rsidR="00E95FF5" w:rsidRDefault="00370725" w:rsidP="00B74607">
            <w:r w:rsidRPr="00E95FF5">
              <w:t>Included with Insurance in Non-Dairy-Specific section</w:t>
            </w:r>
          </w:p>
          <w:p w14:paraId="2E69D57E" w14:textId="77777777" w:rsidR="00B74607" w:rsidRDefault="00B74607" w:rsidP="00B74607"/>
        </w:tc>
      </w:tr>
      <w:tr w:rsidR="00E95FF5" w14:paraId="761CE1B1" w14:textId="77777777" w:rsidTr="00416C76">
        <w:tc>
          <w:tcPr>
            <w:tcW w:w="4590" w:type="dxa"/>
          </w:tcPr>
          <w:p w14:paraId="27EF19EB" w14:textId="77777777" w:rsidR="00E95FF5" w:rsidRDefault="00370725" w:rsidP="00B74607">
            <w:r w:rsidRPr="00E95FF5">
              <w:t>Depreciation</w:t>
            </w:r>
            <w:r>
              <w:t xml:space="preserve"> (not including Section 179)</w:t>
            </w:r>
            <w:r w:rsidRPr="00E95FF5">
              <w:tab/>
            </w:r>
          </w:p>
        </w:tc>
        <w:tc>
          <w:tcPr>
            <w:tcW w:w="4405" w:type="dxa"/>
          </w:tcPr>
          <w:p w14:paraId="1AC21714" w14:textId="77777777" w:rsidR="0043162F" w:rsidRDefault="00370725" w:rsidP="00B74607">
            <w:r w:rsidRPr="00E95FF5">
              <w:t>Depreciation, Management</w:t>
            </w:r>
            <w:r>
              <w:t xml:space="preserve">  </w:t>
            </w:r>
          </w:p>
          <w:p w14:paraId="22FC116A" w14:textId="77777777" w:rsidR="00E95FF5" w:rsidRDefault="00370725" w:rsidP="00B74607">
            <w:r>
              <w:t>(the interpretation is basically the same)</w:t>
            </w:r>
          </w:p>
          <w:p w14:paraId="3B34DD5C" w14:textId="77777777" w:rsidR="00B74607" w:rsidRDefault="00B74607" w:rsidP="00B74607"/>
        </w:tc>
      </w:tr>
    </w:tbl>
    <w:p w14:paraId="4D0B4A3F" w14:textId="77777777" w:rsidR="00E95FF5" w:rsidRDefault="00E95FF5" w:rsidP="00F1180D">
      <w:pPr>
        <w:ind w:left="360"/>
      </w:pPr>
    </w:p>
    <w:p w14:paraId="452C31F9" w14:textId="77777777" w:rsidR="008C173B" w:rsidRDefault="008C173B" w:rsidP="00F1180D">
      <w:pPr>
        <w:ind w:left="360"/>
      </w:pPr>
      <w:r>
        <w:br w:type="page"/>
      </w:r>
    </w:p>
    <w:p w14:paraId="4B85E430" w14:textId="77777777" w:rsidR="0043162F" w:rsidRDefault="0043162F" w:rsidP="00B74607">
      <w:pPr>
        <w:ind w:left="360"/>
      </w:pPr>
      <w:r>
        <w:lastRenderedPageBreak/>
        <w:t xml:space="preserve">There are </w:t>
      </w:r>
      <w:r w:rsidR="009C01A0">
        <w:t xml:space="preserve">a few </w:t>
      </w:r>
      <w:r>
        <w:t xml:space="preserve">differences </w:t>
      </w:r>
      <w:r w:rsidR="009C01A0">
        <w:t>in the “Other Information” section below the Income Statement:</w:t>
      </w:r>
    </w:p>
    <w:p w14:paraId="6A8FF142" w14:textId="77777777" w:rsidR="00D74968" w:rsidRDefault="00D74968" w:rsidP="00B74607">
      <w:pPr>
        <w:ind w:left="360"/>
      </w:pPr>
    </w:p>
    <w:tbl>
      <w:tblPr>
        <w:tblStyle w:val="TableGrid"/>
        <w:tblW w:w="0" w:type="auto"/>
        <w:tblInd w:w="355" w:type="dxa"/>
        <w:tblLook w:val="04A0" w:firstRow="1" w:lastRow="0" w:firstColumn="1" w:lastColumn="0" w:noHBand="0" w:noVBand="1"/>
      </w:tblPr>
      <w:tblGrid>
        <w:gridCol w:w="4689"/>
        <w:gridCol w:w="4306"/>
      </w:tblGrid>
      <w:tr w:rsidR="00965170" w14:paraId="55A68748" w14:textId="77777777" w:rsidTr="00D74968">
        <w:tc>
          <w:tcPr>
            <w:tcW w:w="4689" w:type="dxa"/>
            <w:vAlign w:val="center"/>
          </w:tcPr>
          <w:p w14:paraId="2F27596E" w14:textId="77777777" w:rsidR="009C01A0" w:rsidRDefault="009C01A0" w:rsidP="00D74968">
            <w:pPr>
              <w:jc w:val="center"/>
              <w:rPr>
                <w:b/>
                <w:sz w:val="28"/>
              </w:rPr>
            </w:pPr>
            <w:r w:rsidRPr="00B74607">
              <w:rPr>
                <w:b/>
                <w:sz w:val="28"/>
              </w:rPr>
              <w:t>Old Category</w:t>
            </w:r>
          </w:p>
          <w:p w14:paraId="139E8C62" w14:textId="77777777" w:rsidR="00D74968" w:rsidRPr="00B74607" w:rsidRDefault="00D74968" w:rsidP="00D74968">
            <w:pPr>
              <w:jc w:val="center"/>
              <w:rPr>
                <w:b/>
                <w:sz w:val="28"/>
              </w:rPr>
            </w:pPr>
          </w:p>
        </w:tc>
        <w:tc>
          <w:tcPr>
            <w:tcW w:w="4306" w:type="dxa"/>
            <w:vAlign w:val="center"/>
          </w:tcPr>
          <w:p w14:paraId="447C40A7" w14:textId="77777777" w:rsidR="009C01A0" w:rsidRDefault="009C01A0" w:rsidP="00D74968">
            <w:pPr>
              <w:jc w:val="center"/>
              <w:rPr>
                <w:b/>
                <w:sz w:val="28"/>
              </w:rPr>
            </w:pPr>
            <w:r w:rsidRPr="00B74607">
              <w:rPr>
                <w:b/>
                <w:sz w:val="28"/>
              </w:rPr>
              <w:t>New Category</w:t>
            </w:r>
          </w:p>
          <w:p w14:paraId="6DC91138" w14:textId="77777777" w:rsidR="00D74968" w:rsidRPr="00B74607" w:rsidRDefault="00D74968" w:rsidP="00D74968">
            <w:pPr>
              <w:jc w:val="center"/>
              <w:rPr>
                <w:b/>
                <w:sz w:val="28"/>
              </w:rPr>
            </w:pPr>
          </w:p>
        </w:tc>
      </w:tr>
      <w:tr w:rsidR="00965170" w14:paraId="465F4FFA" w14:textId="77777777" w:rsidTr="00D74968">
        <w:tc>
          <w:tcPr>
            <w:tcW w:w="4689" w:type="dxa"/>
          </w:tcPr>
          <w:p w14:paraId="70A0AB65" w14:textId="77777777" w:rsidR="009C01A0" w:rsidRDefault="009C01A0" w:rsidP="00BF52FF">
            <w:pPr>
              <w:spacing w:after="120"/>
            </w:pPr>
            <w:r>
              <w:t>Total Annual Owner Withdrawals</w:t>
            </w:r>
          </w:p>
          <w:p w14:paraId="5EDC4484" w14:textId="77777777" w:rsidR="009C01A0" w:rsidRDefault="009C01A0" w:rsidP="003D5741">
            <w:pPr>
              <w:ind w:left="360"/>
            </w:pPr>
            <w:r>
              <w:t xml:space="preserve">This </w:t>
            </w:r>
            <w:r w:rsidR="00965170">
              <w:t xml:space="preserve">represented the owners’ salaries if they were not included in the “Labor” category of the Income Statement – for example, </w:t>
            </w:r>
            <w:r w:rsidR="00970439">
              <w:t>Sole Proprietorships &amp; Partnerships do not typically include the owner salary as a “Labor” expense.</w:t>
            </w:r>
            <w:r w:rsidR="0004734A">
              <w:t xml:space="preserve">  This also included any other family living expenses not covered by the </w:t>
            </w:r>
            <w:r w:rsidR="00F21230">
              <w:t>owner salary.</w:t>
            </w:r>
            <w:r w:rsidR="0004734A">
              <w:t xml:space="preserve"> </w:t>
            </w:r>
          </w:p>
          <w:p w14:paraId="433D5B7D" w14:textId="77777777" w:rsidR="00D74968" w:rsidRDefault="00D74968" w:rsidP="003D5741">
            <w:pPr>
              <w:ind w:left="360"/>
            </w:pPr>
          </w:p>
        </w:tc>
        <w:tc>
          <w:tcPr>
            <w:tcW w:w="4306" w:type="dxa"/>
          </w:tcPr>
          <w:p w14:paraId="23EB9497" w14:textId="77777777" w:rsidR="009C01A0" w:rsidRDefault="009C01A0" w:rsidP="00BF52FF">
            <w:pPr>
              <w:spacing w:after="120"/>
            </w:pPr>
            <w:r>
              <w:t>Total Annual Owner Withdrawals</w:t>
            </w:r>
          </w:p>
          <w:p w14:paraId="1FB037F4" w14:textId="77777777" w:rsidR="003D5741" w:rsidRDefault="003D5741" w:rsidP="003D5741">
            <w:pPr>
              <w:ind w:left="360"/>
            </w:pPr>
            <w:r>
              <w:t xml:space="preserve">This represents the value of the owner &amp; unpaid family labor.  </w:t>
            </w:r>
            <w:r w:rsidR="000E237E">
              <w:t xml:space="preserve">These withdrawals are not included in the “Labor” expense on the income statement.  </w:t>
            </w:r>
          </w:p>
        </w:tc>
      </w:tr>
      <w:tr w:rsidR="00965170" w14:paraId="1C284545" w14:textId="77777777" w:rsidTr="00D74968">
        <w:tc>
          <w:tcPr>
            <w:tcW w:w="4689" w:type="dxa"/>
          </w:tcPr>
          <w:p w14:paraId="518BF679" w14:textId="77777777" w:rsidR="009C01A0" w:rsidRDefault="006709F1" w:rsidP="00D15281">
            <w:r>
              <w:t>Estimated Income Taxes</w:t>
            </w:r>
          </w:p>
        </w:tc>
        <w:tc>
          <w:tcPr>
            <w:tcW w:w="4306" w:type="dxa"/>
          </w:tcPr>
          <w:p w14:paraId="017B52D5" w14:textId="77777777" w:rsidR="009C01A0" w:rsidRDefault="006709F1" w:rsidP="00BF52FF">
            <w:pPr>
              <w:spacing w:after="120"/>
            </w:pPr>
            <w:r>
              <w:t>Total Additional Non-Farm Withdrawals</w:t>
            </w:r>
          </w:p>
          <w:p w14:paraId="732564CE" w14:textId="77777777" w:rsidR="006709F1" w:rsidRDefault="006709F1" w:rsidP="006709F1">
            <w:pPr>
              <w:ind w:left="360"/>
            </w:pPr>
            <w:r>
              <w:t>This category include</w:t>
            </w:r>
            <w:r w:rsidR="00F21230">
              <w:t>s</w:t>
            </w:r>
            <w:r>
              <w:t xml:space="preserve"> income taxes</w:t>
            </w:r>
            <w:r w:rsidR="0004734A">
              <w:t xml:space="preserve"> and any other </w:t>
            </w:r>
            <w:r w:rsidR="00F21230">
              <w:t>non-farm withdrawal (retirement planning, off-farm investments, etc.)</w:t>
            </w:r>
          </w:p>
          <w:p w14:paraId="7C993236" w14:textId="77777777" w:rsidR="00D74968" w:rsidRDefault="00D74968" w:rsidP="006709F1">
            <w:pPr>
              <w:ind w:left="360"/>
            </w:pPr>
          </w:p>
        </w:tc>
      </w:tr>
      <w:tr w:rsidR="00965170" w14:paraId="117C9F82" w14:textId="77777777" w:rsidTr="00D74968">
        <w:tc>
          <w:tcPr>
            <w:tcW w:w="4689" w:type="dxa"/>
          </w:tcPr>
          <w:p w14:paraId="4FF62116" w14:textId="77777777" w:rsidR="009C01A0" w:rsidRDefault="00F21230" w:rsidP="00D15281">
            <w:r>
              <w:t>Total Annual Principal &amp; Interest Payments</w:t>
            </w:r>
          </w:p>
        </w:tc>
        <w:tc>
          <w:tcPr>
            <w:tcW w:w="4306" w:type="dxa"/>
          </w:tcPr>
          <w:p w14:paraId="30602B99" w14:textId="77777777" w:rsidR="009C01A0" w:rsidRDefault="00F21230" w:rsidP="00D15281">
            <w:r>
              <w:t>Total Planned Annual Pri</w:t>
            </w:r>
            <w:r w:rsidR="00FA614F">
              <w:t>ncipal &amp; Interest Payments</w:t>
            </w:r>
          </w:p>
          <w:p w14:paraId="747567EB" w14:textId="77777777" w:rsidR="00D74968" w:rsidRDefault="00D74968" w:rsidP="00D15281"/>
          <w:p w14:paraId="57208C52" w14:textId="77777777" w:rsidR="00FA614F" w:rsidRDefault="00FA614F" w:rsidP="00FA614F">
            <w:pPr>
              <w:ind w:left="360"/>
            </w:pPr>
            <w:r>
              <w:t>Same interpretation as before.</w:t>
            </w:r>
          </w:p>
          <w:p w14:paraId="16B3F9A3" w14:textId="77777777" w:rsidR="00D74968" w:rsidRDefault="00D74968" w:rsidP="00FA614F">
            <w:pPr>
              <w:ind w:left="360"/>
            </w:pPr>
          </w:p>
        </w:tc>
      </w:tr>
    </w:tbl>
    <w:p w14:paraId="75000807" w14:textId="77777777" w:rsidR="00FA614F" w:rsidRDefault="00FA614F" w:rsidP="00FA614F"/>
    <w:p w14:paraId="1D40F187" w14:textId="77777777" w:rsidR="00D74968" w:rsidRDefault="00D74968">
      <w:pPr>
        <w:rPr>
          <w:b/>
          <w:sz w:val="28"/>
        </w:rPr>
      </w:pPr>
      <w:r>
        <w:rPr>
          <w:b/>
          <w:sz w:val="28"/>
        </w:rPr>
        <w:br w:type="page"/>
      </w:r>
    </w:p>
    <w:p w14:paraId="5F7E7A9E" w14:textId="77777777" w:rsidR="00FA614F" w:rsidRPr="00CB623A" w:rsidRDefault="00FA614F" w:rsidP="00FA614F">
      <w:pPr>
        <w:rPr>
          <w:b/>
          <w:sz w:val="28"/>
        </w:rPr>
      </w:pPr>
      <w:r w:rsidRPr="00CB623A">
        <w:rPr>
          <w:b/>
          <w:sz w:val="28"/>
        </w:rPr>
        <w:lastRenderedPageBreak/>
        <w:t>Impact on Financial Ratios &amp; Analysis:</w:t>
      </w:r>
    </w:p>
    <w:p w14:paraId="1232F08B" w14:textId="19805087" w:rsidR="00A23789" w:rsidRDefault="00FA614F" w:rsidP="00FA614F">
      <w:pPr>
        <w:ind w:left="720"/>
      </w:pPr>
      <w:r>
        <w:t xml:space="preserve">The key figures on the financial statements </w:t>
      </w:r>
      <w:r w:rsidR="003413B0">
        <w:t xml:space="preserve">will be interpreted in the same manner as previous years.  Total Assets, Total Liabilities, Net Worth, Gross Income, Total Farm Expenses, </w:t>
      </w:r>
      <w:r w:rsidR="008E5581">
        <w:t xml:space="preserve">&amp; </w:t>
      </w:r>
      <w:r w:rsidR="003413B0">
        <w:t>Net Farm Income</w:t>
      </w:r>
      <w:r w:rsidR="008E5581">
        <w:t xml:space="preserve"> all have the same interpretation.  </w:t>
      </w:r>
      <w:r w:rsidR="00A23789">
        <w:t xml:space="preserve">The following ratios will be calculated and interpreted in the same manner as listed on the </w:t>
      </w:r>
      <w:hyperlink r:id="rId7" w:history="1">
        <w:r w:rsidR="00A23789" w:rsidRPr="005415D2">
          <w:rPr>
            <w:rStyle w:val="Hyperlink"/>
          </w:rPr>
          <w:t>www.DairyChallenge.org</w:t>
        </w:r>
      </w:hyperlink>
      <w:r w:rsidR="00A23789">
        <w:t xml:space="preserve"> website (Student Resources):</w:t>
      </w:r>
    </w:p>
    <w:p w14:paraId="6A9E1632" w14:textId="77777777" w:rsidR="00BF52FF" w:rsidRDefault="00BF52FF" w:rsidP="00FA614F">
      <w:pPr>
        <w:ind w:left="720"/>
      </w:pPr>
    </w:p>
    <w:tbl>
      <w:tblPr>
        <w:tblStyle w:val="TableGrid"/>
        <w:tblW w:w="0" w:type="auto"/>
        <w:tblInd w:w="720" w:type="dxa"/>
        <w:tblLook w:val="04A0" w:firstRow="1" w:lastRow="0" w:firstColumn="1" w:lastColumn="0" w:noHBand="0" w:noVBand="1"/>
      </w:tblPr>
      <w:tblGrid>
        <w:gridCol w:w="2157"/>
        <w:gridCol w:w="5038"/>
      </w:tblGrid>
      <w:tr w:rsidR="00DD1285" w14:paraId="55DF90DA" w14:textId="77777777" w:rsidTr="00AB4763">
        <w:tc>
          <w:tcPr>
            <w:tcW w:w="7195" w:type="dxa"/>
            <w:gridSpan w:val="2"/>
          </w:tcPr>
          <w:p w14:paraId="4742C29D" w14:textId="77777777" w:rsidR="00DD1285" w:rsidRDefault="00DD1285" w:rsidP="003652BB">
            <w:pPr>
              <w:jc w:val="center"/>
              <w:rPr>
                <w:b/>
                <w:sz w:val="28"/>
              </w:rPr>
            </w:pPr>
            <w:r w:rsidRPr="003652BB">
              <w:rPr>
                <w:b/>
                <w:sz w:val="28"/>
              </w:rPr>
              <w:t>No Changes Required for These Ratios</w:t>
            </w:r>
          </w:p>
          <w:p w14:paraId="6730CAC3" w14:textId="77777777" w:rsidR="00D74968" w:rsidRPr="003652BB" w:rsidRDefault="00D74968" w:rsidP="003652BB">
            <w:pPr>
              <w:jc w:val="center"/>
              <w:rPr>
                <w:b/>
              </w:rPr>
            </w:pPr>
          </w:p>
        </w:tc>
      </w:tr>
      <w:tr w:rsidR="00DD1285" w14:paraId="37A770CE" w14:textId="77777777" w:rsidTr="00AB4763">
        <w:tc>
          <w:tcPr>
            <w:tcW w:w="2157" w:type="dxa"/>
          </w:tcPr>
          <w:p w14:paraId="7CC4D841" w14:textId="77777777" w:rsidR="00DD1285" w:rsidRDefault="00DD1285" w:rsidP="00FA614F">
            <w:r>
              <w:t>Liquidity</w:t>
            </w:r>
          </w:p>
        </w:tc>
        <w:tc>
          <w:tcPr>
            <w:tcW w:w="5038" w:type="dxa"/>
          </w:tcPr>
          <w:p w14:paraId="26A92662" w14:textId="77777777" w:rsidR="00DD1285" w:rsidRDefault="00DD1285" w:rsidP="00D74968">
            <w:pPr>
              <w:spacing w:after="120"/>
            </w:pPr>
            <w:r>
              <w:t>Current Ratio</w:t>
            </w:r>
          </w:p>
          <w:p w14:paraId="42323F50" w14:textId="77777777" w:rsidR="00AB4763" w:rsidRDefault="00AB4763" w:rsidP="00D74968">
            <w:pPr>
              <w:spacing w:after="120"/>
            </w:pPr>
            <w:r>
              <w:t>Working Capital / Expenses</w:t>
            </w:r>
          </w:p>
          <w:p w14:paraId="1CB3C55E" w14:textId="77777777" w:rsidR="003652BB" w:rsidRDefault="003652BB" w:rsidP="00FA614F"/>
        </w:tc>
      </w:tr>
      <w:tr w:rsidR="00DD1285" w14:paraId="49C1EDC5" w14:textId="77777777" w:rsidTr="00AB4763">
        <w:tc>
          <w:tcPr>
            <w:tcW w:w="2157" w:type="dxa"/>
          </w:tcPr>
          <w:p w14:paraId="2D9F5785" w14:textId="77777777" w:rsidR="00DD1285" w:rsidRDefault="00AB4763" w:rsidP="00FA614F">
            <w:r>
              <w:t>Solvency</w:t>
            </w:r>
          </w:p>
        </w:tc>
        <w:tc>
          <w:tcPr>
            <w:tcW w:w="5038" w:type="dxa"/>
          </w:tcPr>
          <w:p w14:paraId="54ED4422" w14:textId="77777777" w:rsidR="00DD1285" w:rsidRDefault="00AB4763" w:rsidP="00D74968">
            <w:pPr>
              <w:spacing w:after="120"/>
            </w:pPr>
            <w:r>
              <w:t>Debt / Asset</w:t>
            </w:r>
          </w:p>
          <w:p w14:paraId="2D5BBCBF" w14:textId="77777777" w:rsidR="00AB4763" w:rsidRDefault="00AB4763" w:rsidP="00D74968">
            <w:pPr>
              <w:spacing w:after="120"/>
            </w:pPr>
            <w:r>
              <w:t>Equity / Asset</w:t>
            </w:r>
          </w:p>
          <w:p w14:paraId="3364B08C" w14:textId="77777777" w:rsidR="00AB4763" w:rsidRDefault="00AB4763" w:rsidP="00D74968">
            <w:pPr>
              <w:spacing w:after="120"/>
            </w:pPr>
            <w:r>
              <w:t>Debt / Worth</w:t>
            </w:r>
          </w:p>
          <w:p w14:paraId="38D5B770" w14:textId="77777777" w:rsidR="00AB4763" w:rsidRDefault="00AB4763" w:rsidP="00051084">
            <w:pPr>
              <w:ind w:left="360"/>
            </w:pPr>
            <w:r>
              <w:t xml:space="preserve">Remember, you only need to calculate one of these ratios – </w:t>
            </w:r>
            <w:r w:rsidR="00051084">
              <w:t>if you know one, you automatically know the others!</w:t>
            </w:r>
          </w:p>
          <w:p w14:paraId="79EB0F96" w14:textId="77777777" w:rsidR="00AB4763" w:rsidRDefault="00AB4763" w:rsidP="00FA614F"/>
        </w:tc>
      </w:tr>
      <w:tr w:rsidR="00DD1285" w14:paraId="242AD264" w14:textId="77777777" w:rsidTr="00AB4763">
        <w:tc>
          <w:tcPr>
            <w:tcW w:w="2157" w:type="dxa"/>
          </w:tcPr>
          <w:p w14:paraId="2FCB7735" w14:textId="77777777" w:rsidR="00DD1285" w:rsidRDefault="00051084" w:rsidP="00FA614F">
            <w:r>
              <w:t>Repayment Ability</w:t>
            </w:r>
          </w:p>
        </w:tc>
        <w:tc>
          <w:tcPr>
            <w:tcW w:w="5038" w:type="dxa"/>
          </w:tcPr>
          <w:p w14:paraId="2BA90186" w14:textId="77777777" w:rsidR="00DD1285" w:rsidRDefault="00051084" w:rsidP="00FA614F">
            <w:r>
              <w:t>Term Debt / EBITDA</w:t>
            </w:r>
          </w:p>
          <w:p w14:paraId="0DAC4048" w14:textId="77777777" w:rsidR="003652BB" w:rsidRDefault="003652BB" w:rsidP="00FA614F"/>
        </w:tc>
      </w:tr>
      <w:tr w:rsidR="00DD1285" w14:paraId="18F2E111" w14:textId="77777777" w:rsidTr="00AB4763">
        <w:tc>
          <w:tcPr>
            <w:tcW w:w="2157" w:type="dxa"/>
          </w:tcPr>
          <w:p w14:paraId="19D5FDB4" w14:textId="77777777" w:rsidR="00DD1285" w:rsidRDefault="00051084" w:rsidP="00FA614F">
            <w:r>
              <w:t>Financial Efficiency</w:t>
            </w:r>
          </w:p>
        </w:tc>
        <w:tc>
          <w:tcPr>
            <w:tcW w:w="5038" w:type="dxa"/>
          </w:tcPr>
          <w:p w14:paraId="41729EC8" w14:textId="77777777" w:rsidR="00DD1285" w:rsidRDefault="00051084" w:rsidP="00D74968">
            <w:pPr>
              <w:spacing w:after="120"/>
            </w:pPr>
            <w:r>
              <w:t>Operating Expense / Receipt Ratio</w:t>
            </w:r>
          </w:p>
          <w:p w14:paraId="654247EE" w14:textId="77777777" w:rsidR="00051084" w:rsidRDefault="00051084" w:rsidP="00D74968">
            <w:pPr>
              <w:spacing w:after="120"/>
            </w:pPr>
            <w:r>
              <w:t>Sales / Total Assets</w:t>
            </w:r>
          </w:p>
          <w:p w14:paraId="3ACE572B" w14:textId="77777777" w:rsidR="003652BB" w:rsidRDefault="003652BB" w:rsidP="00FA614F"/>
        </w:tc>
      </w:tr>
    </w:tbl>
    <w:p w14:paraId="38B117DA" w14:textId="77777777" w:rsidR="00A23789" w:rsidRDefault="00A23789" w:rsidP="00FA614F">
      <w:pPr>
        <w:ind w:left="720"/>
      </w:pPr>
    </w:p>
    <w:p w14:paraId="7CECD564" w14:textId="77777777" w:rsidR="00D74968" w:rsidRDefault="00D74968">
      <w:r>
        <w:br w:type="page"/>
      </w:r>
    </w:p>
    <w:p w14:paraId="24C35D4F" w14:textId="77777777" w:rsidR="00FA614F" w:rsidRDefault="00A23789" w:rsidP="00FA614F">
      <w:pPr>
        <w:ind w:left="720"/>
      </w:pPr>
      <w:r>
        <w:lastRenderedPageBreak/>
        <w:t xml:space="preserve"> </w:t>
      </w:r>
      <w:r w:rsidR="008E5581">
        <w:t>The only changes that you need to make in your financial ratio calculations are:</w:t>
      </w:r>
    </w:p>
    <w:tbl>
      <w:tblPr>
        <w:tblStyle w:val="TableGrid"/>
        <w:tblW w:w="0" w:type="auto"/>
        <w:tblInd w:w="720" w:type="dxa"/>
        <w:tblLook w:val="04A0" w:firstRow="1" w:lastRow="0" w:firstColumn="1" w:lastColumn="0" w:noHBand="0" w:noVBand="1"/>
      </w:tblPr>
      <w:tblGrid>
        <w:gridCol w:w="2155"/>
        <w:gridCol w:w="6475"/>
      </w:tblGrid>
      <w:tr w:rsidR="003652BB" w14:paraId="1C435ECD" w14:textId="77777777" w:rsidTr="00985F32">
        <w:tc>
          <w:tcPr>
            <w:tcW w:w="8630" w:type="dxa"/>
            <w:gridSpan w:val="2"/>
          </w:tcPr>
          <w:p w14:paraId="75DF5C77" w14:textId="77777777" w:rsidR="003652BB" w:rsidRDefault="003652BB" w:rsidP="00CB623A">
            <w:pPr>
              <w:jc w:val="center"/>
              <w:rPr>
                <w:b/>
                <w:sz w:val="28"/>
              </w:rPr>
            </w:pPr>
            <w:r w:rsidRPr="00CB623A">
              <w:rPr>
                <w:b/>
                <w:sz w:val="28"/>
              </w:rPr>
              <w:t xml:space="preserve">Ratios That Will </w:t>
            </w:r>
            <w:r w:rsidR="009A2272" w:rsidRPr="00CB623A">
              <w:rPr>
                <w:b/>
                <w:sz w:val="28"/>
              </w:rPr>
              <w:t>Be Affected</w:t>
            </w:r>
          </w:p>
          <w:p w14:paraId="14EB26FC" w14:textId="77777777" w:rsidR="00D74968" w:rsidRPr="00CB623A" w:rsidRDefault="00D74968" w:rsidP="00CB623A">
            <w:pPr>
              <w:jc w:val="center"/>
              <w:rPr>
                <w:b/>
              </w:rPr>
            </w:pPr>
          </w:p>
        </w:tc>
      </w:tr>
      <w:tr w:rsidR="003652BB" w14:paraId="1E79DAF8" w14:textId="77777777" w:rsidTr="00A0449E">
        <w:tc>
          <w:tcPr>
            <w:tcW w:w="2155" w:type="dxa"/>
          </w:tcPr>
          <w:p w14:paraId="5F989C5D" w14:textId="77777777" w:rsidR="003652BB" w:rsidRDefault="009A2272" w:rsidP="00FA614F">
            <w:r>
              <w:t>Repayment Ability</w:t>
            </w:r>
          </w:p>
        </w:tc>
        <w:tc>
          <w:tcPr>
            <w:tcW w:w="6475" w:type="dxa"/>
          </w:tcPr>
          <w:p w14:paraId="7CB376F8" w14:textId="77777777" w:rsidR="00A0449E" w:rsidRDefault="009A2272" w:rsidP="00FA614F">
            <w:r>
              <w:t xml:space="preserve">Debt Coverage Ratio </w:t>
            </w:r>
          </w:p>
          <w:p w14:paraId="0BE80A79" w14:textId="77777777" w:rsidR="003652BB" w:rsidRDefault="009A2272" w:rsidP="006C0331">
            <w:pPr>
              <w:ind w:left="360"/>
            </w:pPr>
            <w:r>
              <w:t xml:space="preserve">= (Net Farm Income + Interest + Depreciation – </w:t>
            </w:r>
            <w:r w:rsidR="00656034">
              <w:t xml:space="preserve">Total Annual Owner Withdrawals - </w:t>
            </w:r>
            <w:r>
              <w:t xml:space="preserve">Total </w:t>
            </w:r>
            <w:r w:rsidR="00656034">
              <w:t xml:space="preserve">Additional </w:t>
            </w:r>
            <w:r>
              <w:t>No</w:t>
            </w:r>
            <w:r w:rsidR="00CA5B1E">
              <w:t xml:space="preserve">n-Farm </w:t>
            </w:r>
            <w:r w:rsidR="00656034">
              <w:t>Withdrawals) / Total Planned Annual Principal &amp; Interest Payments</w:t>
            </w:r>
          </w:p>
          <w:p w14:paraId="5FE67987" w14:textId="77777777" w:rsidR="006C0331" w:rsidRDefault="006C0331" w:rsidP="006C0331">
            <w:pPr>
              <w:ind w:left="360"/>
            </w:pPr>
          </w:p>
          <w:p w14:paraId="27D12B60" w14:textId="77777777" w:rsidR="00A0449E" w:rsidRDefault="00A0449E" w:rsidP="00A0449E">
            <w:pPr>
              <w:ind w:left="360"/>
            </w:pPr>
            <w:r>
              <w:t>The interpretation of this ratio will be the same.</w:t>
            </w:r>
          </w:p>
        </w:tc>
      </w:tr>
      <w:tr w:rsidR="003652BB" w14:paraId="3BFD2425" w14:textId="77777777" w:rsidTr="00A0449E">
        <w:tc>
          <w:tcPr>
            <w:tcW w:w="2155" w:type="dxa"/>
          </w:tcPr>
          <w:p w14:paraId="43D20E72" w14:textId="77777777" w:rsidR="003652BB" w:rsidRDefault="00A0449E" w:rsidP="00FA614F">
            <w:r>
              <w:t>Profitability</w:t>
            </w:r>
          </w:p>
        </w:tc>
        <w:tc>
          <w:tcPr>
            <w:tcW w:w="6475" w:type="dxa"/>
          </w:tcPr>
          <w:p w14:paraId="6C8107A6" w14:textId="77777777" w:rsidR="003652BB" w:rsidRDefault="00A0449E" w:rsidP="00FA614F">
            <w:r>
              <w:t>Rate of Return on Assets (ROA)</w:t>
            </w:r>
          </w:p>
          <w:p w14:paraId="2D0F5C26" w14:textId="77777777" w:rsidR="00A0449E" w:rsidRDefault="006C0331" w:rsidP="006C0331">
            <w:pPr>
              <w:ind w:left="360"/>
            </w:pPr>
            <w:r>
              <w:t>= (Net Farm Income + Interest – Total Annual Owner Withdrawals) / Total Farm Assets</w:t>
            </w:r>
          </w:p>
          <w:p w14:paraId="414EE68F" w14:textId="77777777" w:rsidR="006C0331" w:rsidRDefault="006C0331" w:rsidP="006C0331">
            <w:pPr>
              <w:ind w:left="360"/>
            </w:pPr>
          </w:p>
          <w:p w14:paraId="0AEFE41A" w14:textId="77777777" w:rsidR="006C0331" w:rsidRDefault="006C0331" w:rsidP="006C0331">
            <w:pPr>
              <w:ind w:left="360"/>
            </w:pPr>
            <w:r>
              <w:t xml:space="preserve">The NY </w:t>
            </w:r>
            <w:r w:rsidR="00FB0B20">
              <w:t xml:space="preserve">benchmarks divide by “Average Total Farm Assets” instead of “Total Farm Assets”.  This should not have a major impact on </w:t>
            </w:r>
            <w:r w:rsidR="006B34AC">
              <w:t>your analysis – you can compare the ROA as calculated above to the NY benchmarks.</w:t>
            </w:r>
          </w:p>
          <w:p w14:paraId="300E7F5B" w14:textId="77777777" w:rsidR="006B34AC" w:rsidRDefault="006B34AC" w:rsidP="006C0331">
            <w:pPr>
              <w:ind w:left="360"/>
            </w:pPr>
          </w:p>
          <w:p w14:paraId="37388B98" w14:textId="77777777" w:rsidR="006B34AC" w:rsidRDefault="006B34AC" w:rsidP="006B34AC">
            <w:r>
              <w:t>Operating Profit Margin</w:t>
            </w:r>
          </w:p>
          <w:p w14:paraId="0F500F47" w14:textId="77777777" w:rsidR="006B34AC" w:rsidRDefault="006B34AC" w:rsidP="006B34AC">
            <w:pPr>
              <w:ind w:left="360"/>
            </w:pPr>
            <w:r>
              <w:t xml:space="preserve">= (Net Farm Income + Interest – Total Annual Owner Withdrawals) / </w:t>
            </w:r>
            <w:r w:rsidR="0072670F">
              <w:t>Gross Income from the Income Statement</w:t>
            </w:r>
          </w:p>
          <w:p w14:paraId="0D66CE18" w14:textId="77777777" w:rsidR="006B34AC" w:rsidRDefault="006B34AC" w:rsidP="006C0331">
            <w:pPr>
              <w:ind w:left="360"/>
            </w:pPr>
          </w:p>
        </w:tc>
      </w:tr>
    </w:tbl>
    <w:p w14:paraId="79606678" w14:textId="4B7FD2B1" w:rsidR="008E5581" w:rsidRDefault="008E5581" w:rsidP="00FA614F">
      <w:pPr>
        <w:ind w:left="720"/>
      </w:pPr>
    </w:p>
    <w:p w14:paraId="01C29FBB" w14:textId="57414443" w:rsidR="0098658B" w:rsidRDefault="00AF3BBD" w:rsidP="00FA614F">
      <w:pPr>
        <w:ind w:left="720"/>
      </w:pPr>
      <w:r>
        <w:t xml:space="preserve">Please feel free to contact me if I can be of help in clarifying these issues or helping your students with the financial ratio calculations – </w:t>
      </w:r>
      <w:hyperlink r:id="rId8" w:history="1">
        <w:r w:rsidRPr="005415D2">
          <w:rPr>
            <w:rStyle w:val="Hyperlink"/>
          </w:rPr>
          <w:t>DocWhite@vt.edu</w:t>
        </w:r>
      </w:hyperlink>
      <w:r>
        <w:t xml:space="preserve"> </w:t>
      </w:r>
    </w:p>
    <w:p w14:paraId="7DE48FC9" w14:textId="77777777" w:rsidR="00AF3BBD" w:rsidRDefault="00AF3BBD" w:rsidP="00FA614F">
      <w:pPr>
        <w:ind w:left="720"/>
      </w:pPr>
    </w:p>
    <w:p w14:paraId="0BEF7C7B" w14:textId="47348B28" w:rsidR="007C4987" w:rsidRDefault="0098658B" w:rsidP="007C4987">
      <w:pPr>
        <w:ind w:left="1440" w:hanging="1440"/>
      </w:pPr>
      <w:r w:rsidRPr="006B1A72">
        <w:rPr>
          <w:b/>
          <w:sz w:val="28"/>
        </w:rPr>
        <w:t>Disclaimer:</w:t>
      </w:r>
      <w:r w:rsidR="007C4987">
        <w:tab/>
        <w:t xml:space="preserve">I have a team competing in NAIDC this year.  </w:t>
      </w:r>
      <w:r w:rsidR="009546A1">
        <w:t>I am also on the NA</w:t>
      </w:r>
      <w:r w:rsidR="00782636">
        <w:t>I</w:t>
      </w:r>
      <w:r w:rsidR="009546A1">
        <w:t xml:space="preserve">DC Board of Directors.  As a Board member </w:t>
      </w:r>
      <w:r w:rsidR="007C4987">
        <w:t xml:space="preserve">I have helped with the formatting of the financial statements </w:t>
      </w:r>
      <w:r w:rsidR="00194F63">
        <w:t xml:space="preserve">for the 2023 event.  My role </w:t>
      </w:r>
      <w:r w:rsidR="002E7B8C">
        <w:t>has been</w:t>
      </w:r>
      <w:r w:rsidR="00194F63">
        <w:t xml:space="preserve"> to maintain</w:t>
      </w:r>
      <w:r w:rsidR="00C22BB9">
        <w:t xml:space="preserve"> </w:t>
      </w:r>
      <w:r w:rsidR="002E7B8C">
        <w:t xml:space="preserve">as much </w:t>
      </w:r>
      <w:r w:rsidR="00194F63">
        <w:t>consistency in the statements</w:t>
      </w:r>
      <w:r w:rsidR="005A672D">
        <w:t xml:space="preserve"> from previous years</w:t>
      </w:r>
      <w:r w:rsidR="00C22BB9">
        <w:t xml:space="preserve"> – to reduce confusion and surprises for coaches and students.</w:t>
      </w:r>
    </w:p>
    <w:p w14:paraId="19108488" w14:textId="3A2AD8A5" w:rsidR="009546A1" w:rsidRDefault="009546A1" w:rsidP="007C4987">
      <w:pPr>
        <w:ind w:left="1440" w:hanging="1440"/>
      </w:pPr>
      <w:r>
        <w:tab/>
        <w:t>I have only seen templates of the financial statements</w:t>
      </w:r>
      <w:r w:rsidR="006B1A72">
        <w:t>.  T</w:t>
      </w:r>
      <w:r w:rsidR="004D726F">
        <w:t>hese</w:t>
      </w:r>
      <w:r w:rsidR="00B15D5E">
        <w:t xml:space="preserve"> same </w:t>
      </w:r>
      <w:r w:rsidR="004D726F">
        <w:t xml:space="preserve">templates are provided for all coaches and students on the </w:t>
      </w:r>
      <w:hyperlink r:id="rId9" w:history="1">
        <w:r w:rsidR="004D726F" w:rsidRPr="005415D2">
          <w:rPr>
            <w:rStyle w:val="Hyperlink"/>
          </w:rPr>
          <w:t>www.DairyChallenge.org</w:t>
        </w:r>
      </w:hyperlink>
      <w:r w:rsidR="004D726F">
        <w:t xml:space="preserve"> website</w:t>
      </w:r>
      <w:r w:rsidR="006B1A72">
        <w:t xml:space="preserve"> (Student Resources)</w:t>
      </w:r>
      <w:r w:rsidR="004D726F">
        <w:t>.  I have not seen any data from the host farms</w:t>
      </w:r>
      <w:r w:rsidR="00B15D5E">
        <w:t xml:space="preserve"> for the NAIDC competition.</w:t>
      </w:r>
    </w:p>
    <w:p w14:paraId="022D804A" w14:textId="3A2E9959" w:rsidR="00B15D5E" w:rsidRDefault="006B1A72" w:rsidP="007C4987">
      <w:pPr>
        <w:ind w:left="1440" w:hanging="1440"/>
      </w:pPr>
      <w:r>
        <w:tab/>
        <w:t xml:space="preserve">If you </w:t>
      </w:r>
      <w:r w:rsidR="009717A0">
        <w:t>have any questions or concerns</w:t>
      </w:r>
      <w:r w:rsidR="00E963FC">
        <w:t xml:space="preserve"> about my involvement in this process</w:t>
      </w:r>
      <w:r w:rsidR="009717A0">
        <w:t>, please contact Molly Kelley</w:t>
      </w:r>
      <w:r w:rsidR="0002193E">
        <w:t xml:space="preserve"> (NAIDC Executive Director – </w:t>
      </w:r>
      <w:hyperlink r:id="rId10" w:history="1">
        <w:r w:rsidR="00E963FC" w:rsidRPr="005415D2">
          <w:rPr>
            <w:rStyle w:val="Hyperlink"/>
          </w:rPr>
          <w:t>MollyK@DairyChallenge.org</w:t>
        </w:r>
      </w:hyperlink>
      <w:r w:rsidR="0002193E">
        <w:t xml:space="preserve"> </w:t>
      </w:r>
      <w:r w:rsidR="00E963FC">
        <w:t>)</w:t>
      </w:r>
      <w:r w:rsidR="00B15D5E">
        <w:tab/>
      </w:r>
    </w:p>
    <w:sectPr w:rsidR="00B1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23"/>
    <w:rsid w:val="0002193E"/>
    <w:rsid w:val="0004734A"/>
    <w:rsid w:val="00051084"/>
    <w:rsid w:val="000E237E"/>
    <w:rsid w:val="00126FBE"/>
    <w:rsid w:val="00174043"/>
    <w:rsid w:val="00194F63"/>
    <w:rsid w:val="001B2D21"/>
    <w:rsid w:val="001D21B9"/>
    <w:rsid w:val="002360D5"/>
    <w:rsid w:val="0026484E"/>
    <w:rsid w:val="0027363B"/>
    <w:rsid w:val="002E7B8C"/>
    <w:rsid w:val="003016BD"/>
    <w:rsid w:val="003413B0"/>
    <w:rsid w:val="003652BB"/>
    <w:rsid w:val="00370725"/>
    <w:rsid w:val="0037737D"/>
    <w:rsid w:val="003D5741"/>
    <w:rsid w:val="00416C76"/>
    <w:rsid w:val="0042000A"/>
    <w:rsid w:val="0043162F"/>
    <w:rsid w:val="004821D9"/>
    <w:rsid w:val="004D726F"/>
    <w:rsid w:val="004F19BE"/>
    <w:rsid w:val="005A672D"/>
    <w:rsid w:val="005F1EA3"/>
    <w:rsid w:val="00656034"/>
    <w:rsid w:val="006709F1"/>
    <w:rsid w:val="006B1A72"/>
    <w:rsid w:val="006B34AC"/>
    <w:rsid w:val="006C0331"/>
    <w:rsid w:val="006F6A09"/>
    <w:rsid w:val="0072670F"/>
    <w:rsid w:val="00782636"/>
    <w:rsid w:val="007C4987"/>
    <w:rsid w:val="00827416"/>
    <w:rsid w:val="008314F6"/>
    <w:rsid w:val="008521EA"/>
    <w:rsid w:val="0088517C"/>
    <w:rsid w:val="008C173B"/>
    <w:rsid w:val="008E5581"/>
    <w:rsid w:val="0090063F"/>
    <w:rsid w:val="009546A1"/>
    <w:rsid w:val="00960685"/>
    <w:rsid w:val="00965170"/>
    <w:rsid w:val="00970439"/>
    <w:rsid w:val="009717A0"/>
    <w:rsid w:val="0098658B"/>
    <w:rsid w:val="009A2272"/>
    <w:rsid w:val="009B4D6A"/>
    <w:rsid w:val="009C01A0"/>
    <w:rsid w:val="009C6599"/>
    <w:rsid w:val="009E03F5"/>
    <w:rsid w:val="00A0449E"/>
    <w:rsid w:val="00A12244"/>
    <w:rsid w:val="00A17D5B"/>
    <w:rsid w:val="00A23789"/>
    <w:rsid w:val="00A24A16"/>
    <w:rsid w:val="00A42BB8"/>
    <w:rsid w:val="00AB4763"/>
    <w:rsid w:val="00AE503A"/>
    <w:rsid w:val="00AF3BBD"/>
    <w:rsid w:val="00B15D5E"/>
    <w:rsid w:val="00B7308D"/>
    <w:rsid w:val="00B74607"/>
    <w:rsid w:val="00BB16AC"/>
    <w:rsid w:val="00BF52FF"/>
    <w:rsid w:val="00C22BB9"/>
    <w:rsid w:val="00C44823"/>
    <w:rsid w:val="00C86D95"/>
    <w:rsid w:val="00CA4462"/>
    <w:rsid w:val="00CA5B1E"/>
    <w:rsid w:val="00CB623A"/>
    <w:rsid w:val="00D14C4E"/>
    <w:rsid w:val="00D15281"/>
    <w:rsid w:val="00D703AE"/>
    <w:rsid w:val="00D74968"/>
    <w:rsid w:val="00DD1285"/>
    <w:rsid w:val="00E47EE2"/>
    <w:rsid w:val="00E95FF5"/>
    <w:rsid w:val="00E963FC"/>
    <w:rsid w:val="00EA6C62"/>
    <w:rsid w:val="00EC7661"/>
    <w:rsid w:val="00F1180D"/>
    <w:rsid w:val="00F21230"/>
    <w:rsid w:val="00F62893"/>
    <w:rsid w:val="00FA614F"/>
    <w:rsid w:val="00FB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DE0"/>
  <w15:chartTrackingRefBased/>
  <w15:docId w15:val="{AAB6D9A7-F140-467A-B0BD-95CFDD9C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789"/>
    <w:rPr>
      <w:color w:val="0563C1" w:themeColor="hyperlink"/>
      <w:u w:val="single"/>
    </w:rPr>
  </w:style>
  <w:style w:type="character" w:styleId="UnresolvedMention">
    <w:name w:val="Unresolved Mention"/>
    <w:basedOn w:val="DefaultParagraphFont"/>
    <w:uiPriority w:val="99"/>
    <w:semiHidden/>
    <w:unhideWhenUsed/>
    <w:rsid w:val="00A2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White@vt.edu" TargetMode="External"/><Relationship Id="rId3" Type="http://schemas.openxmlformats.org/officeDocument/2006/relationships/customXml" Target="../customXml/item3.xml"/><Relationship Id="rId7" Type="http://schemas.openxmlformats.org/officeDocument/2006/relationships/hyperlink" Target="http://www.DairyChallenge.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ollyK@DairyChallenge.org" TargetMode="External"/><Relationship Id="rId4" Type="http://schemas.openxmlformats.org/officeDocument/2006/relationships/styles" Target="styles.xml"/><Relationship Id="rId9" Type="http://schemas.openxmlformats.org/officeDocument/2006/relationships/hyperlink" Target="http://www.Dairy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F3924B357164FB2925FB7BCDDC87C" ma:contentTypeVersion="9" ma:contentTypeDescription="Create a new document." ma:contentTypeScope="" ma:versionID="c01f05aa2cb3acd189a27b6cbd5ac616">
  <xsd:schema xmlns:xsd="http://www.w3.org/2001/XMLSchema" xmlns:xs="http://www.w3.org/2001/XMLSchema" xmlns:p="http://schemas.microsoft.com/office/2006/metadata/properties" xmlns:ns3="50bb2bbf-c36e-423a-b790-e48f987c97ce" targetNamespace="http://schemas.microsoft.com/office/2006/metadata/properties" ma:root="true" ma:fieldsID="7be2ae1e860139c83491c9d15be87e8e" ns3:_="">
    <xsd:import namespace="50bb2bbf-c36e-423a-b790-e48f987c97c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b2bbf-c36e-423a-b790-e48f987c9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3535C-AD1C-4F31-B9EE-9CA6F6E7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b2bbf-c36e-423a-b790-e48f987c9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DA642-A744-4755-A9C9-9620F8DABB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07993-5C79-460B-A299-C32758537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Alex</dc:creator>
  <cp:keywords/>
  <dc:description/>
  <cp:lastModifiedBy>molly kelley</cp:lastModifiedBy>
  <cp:revision>6</cp:revision>
  <dcterms:created xsi:type="dcterms:W3CDTF">2023-03-17T14:07:00Z</dcterms:created>
  <dcterms:modified xsi:type="dcterms:W3CDTF">2023-03-18T14:59:00Z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0x0101002C4F3924B357164FB2925FB7BCDDC87C</vt:lpwstr>
  </property>
</Properties>
</file>